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8B467" w14:textId="77777777" w:rsidR="00AE6570" w:rsidRPr="00AE6570" w:rsidRDefault="00AE6570" w:rsidP="00AE6570">
      <w:pPr>
        <w:jc w:val="center"/>
        <w:rPr>
          <w:rFonts w:ascii="Segoe UI" w:hAnsi="Segoe UI" w:cs="Segoe UI"/>
          <w:b/>
          <w:iCs/>
          <w:sz w:val="32"/>
          <w:szCs w:val="32"/>
        </w:rPr>
      </w:pPr>
      <w:r w:rsidRPr="00AE6570">
        <w:rPr>
          <w:rFonts w:ascii="Segoe UI" w:hAnsi="Segoe UI" w:cs="Segoe UI"/>
          <w:b/>
          <w:iCs/>
          <w:sz w:val="32"/>
          <w:szCs w:val="32"/>
        </w:rPr>
        <w:t>F-3500 Master Specification</w:t>
      </w:r>
    </w:p>
    <w:p w14:paraId="7F9DB439"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Basis of Design:</w:t>
      </w:r>
      <w:r w:rsidRPr="00AE6570">
        <w:rPr>
          <w:rFonts w:ascii="Segoe UI" w:hAnsi="Segoe UI" w:cs="Segoe UI"/>
          <w:iCs/>
          <w:sz w:val="24"/>
          <w:szCs w:val="24"/>
        </w:rPr>
        <w:t xml:space="preserve"> </w:t>
      </w:r>
      <w:r w:rsidRPr="00AE6570">
        <w:rPr>
          <w:rFonts w:ascii="Segoe UI" w:hAnsi="Segoe UI" w:cs="Segoe UI"/>
          <w:b/>
          <w:iCs/>
          <w:sz w:val="24"/>
          <w:szCs w:val="24"/>
        </w:rPr>
        <w:t>ONICON Model F-3500</w:t>
      </w:r>
      <w:r w:rsidRPr="00AE6570">
        <w:rPr>
          <w:rFonts w:ascii="Segoe UI" w:hAnsi="Segoe UI" w:cs="Segoe UI"/>
          <w:iCs/>
          <w:sz w:val="24"/>
          <w:szCs w:val="24"/>
        </w:rPr>
        <w:t xml:space="preserve"> Series Insertion Electromagnetic Flowmeter. Manufacturers approved to bid, subject to compliance with requirements include:</w:t>
      </w:r>
    </w:p>
    <w:p w14:paraId="6017E29F" w14:textId="77777777" w:rsidR="00AE6570" w:rsidRPr="00AE6570" w:rsidRDefault="00AE6570" w:rsidP="00AE6570">
      <w:pPr>
        <w:rPr>
          <w:rFonts w:ascii="Segoe UI" w:hAnsi="Segoe UI" w:cs="Segoe UI"/>
          <w:bCs/>
          <w:sz w:val="24"/>
          <w:szCs w:val="24"/>
        </w:rPr>
      </w:pPr>
      <w:r w:rsidRPr="00AE6570">
        <w:rPr>
          <w:rFonts w:ascii="Segoe UI" w:hAnsi="Segoe UI" w:cs="Segoe UI"/>
          <w:bCs/>
          <w:sz w:val="24"/>
          <w:szCs w:val="24"/>
        </w:rPr>
        <w:t>Insert additional MFG’s pre-approved to bid.</w:t>
      </w:r>
    </w:p>
    <w:p w14:paraId="0F5DC79B"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Description:</w:t>
      </w:r>
      <w:r w:rsidRPr="00AE6570">
        <w:rPr>
          <w:rFonts w:ascii="Segoe UI" w:hAnsi="Segoe UI" w:cs="Segoe UI"/>
          <w:iCs/>
          <w:sz w:val="24"/>
          <w:szCs w:val="24"/>
        </w:rPr>
        <w:t xml:space="preserve">  Provide an insertion electromagnetic flowmeter complete with NIST traceable, wet calibrated flow-measuring element, integral transmitter, installation valves, installation depth ga</w:t>
      </w:r>
      <w:bookmarkStart w:id="0" w:name="_GoBack"/>
      <w:bookmarkEnd w:id="0"/>
      <w:r w:rsidRPr="00AE6570">
        <w:rPr>
          <w:rFonts w:ascii="Segoe UI" w:hAnsi="Segoe UI" w:cs="Segoe UI"/>
          <w:iCs/>
          <w:sz w:val="24"/>
          <w:szCs w:val="24"/>
        </w:rPr>
        <w:t xml:space="preserve">ge and calibration certificate. Flowmeter shall be wet </w:t>
      </w:r>
      <w:proofErr w:type="spellStart"/>
      <w:r w:rsidRPr="00AE6570">
        <w:rPr>
          <w:rFonts w:ascii="Segoe UI" w:hAnsi="Segoe UI" w:cs="Segoe UI"/>
          <w:iCs/>
          <w:sz w:val="24"/>
          <w:szCs w:val="24"/>
        </w:rPr>
        <w:t>tappable</w:t>
      </w:r>
      <w:proofErr w:type="spellEnd"/>
      <w:r w:rsidRPr="00AE6570">
        <w:rPr>
          <w:rFonts w:ascii="Segoe UI" w:hAnsi="Segoe UI" w:cs="Segoe UI"/>
          <w:iCs/>
          <w:sz w:val="24"/>
          <w:szCs w:val="24"/>
        </w:rPr>
        <w:t>, allowing insertion and removal from the flow stream without system shutdown.</w:t>
      </w:r>
    </w:p>
    <w:p w14:paraId="1BBF309F"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Application Range:</w:t>
      </w:r>
      <w:r w:rsidRPr="00AE6570">
        <w:rPr>
          <w:rFonts w:ascii="Segoe UI" w:hAnsi="Segoe UI" w:cs="Segoe UI"/>
          <w:iCs/>
          <w:sz w:val="24"/>
          <w:szCs w:val="24"/>
        </w:rPr>
        <w:t xml:space="preserve"> This contractor shall be responsible for selecting the flowmeter options submitted based on the application, refer to section for 230519.3.4 “Flowmeter Schedule by Application”.  Flowmeter shall be constructed, calibrated and scaled for the intended application in terms of pipe size, pipe material, installation requirements, expected flow rate, ambient conditions and fluid characteristics which include but are not limited to pressure, temperature, conductivity and viscosity.    </w:t>
      </w:r>
    </w:p>
    <w:p w14:paraId="10B8F6CB"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Sensing Technology:</w:t>
      </w:r>
      <w:r w:rsidRPr="00AE6570">
        <w:rPr>
          <w:rFonts w:ascii="Segoe UI" w:hAnsi="Segoe UI" w:cs="Segoe UI"/>
          <w:iCs/>
          <w:sz w:val="24"/>
          <w:szCs w:val="24"/>
        </w:rPr>
        <w:t xml:space="preserve">  Electromagnetic velocity-measuring element.   </w:t>
      </w:r>
    </w:p>
    <w:p w14:paraId="22E0719C"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Design:</w:t>
      </w:r>
      <w:r w:rsidRPr="00AE6570">
        <w:rPr>
          <w:rFonts w:ascii="Segoe UI" w:hAnsi="Segoe UI" w:cs="Segoe UI"/>
          <w:iCs/>
          <w:sz w:val="24"/>
          <w:szCs w:val="24"/>
        </w:rPr>
        <w:t xml:space="preserve">  Electromagnetic sensing element shall utilize two sets of diametrically opposed electrodes to measure the average flow rate velocity. </w:t>
      </w:r>
    </w:p>
    <w:p w14:paraId="1773396D"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Construction:</w:t>
      </w:r>
      <w:r w:rsidRPr="00AE6570">
        <w:rPr>
          <w:rFonts w:ascii="Segoe UI" w:hAnsi="Segoe UI" w:cs="Segoe UI"/>
          <w:iCs/>
          <w:sz w:val="24"/>
          <w:szCs w:val="24"/>
        </w:rPr>
        <w:t xml:space="preserve">  Wetted components shall be constructed of 316L stainless steel with attached tag indicating calibration information.</w:t>
      </w:r>
    </w:p>
    <w:p w14:paraId="3A6ED693"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Maximum Pressure Rating</w:t>
      </w:r>
      <w:r w:rsidRPr="00AE6570">
        <w:rPr>
          <w:rFonts w:ascii="Segoe UI" w:hAnsi="Segoe UI" w:cs="Segoe UI"/>
          <w:iCs/>
          <w:sz w:val="24"/>
          <w:szCs w:val="24"/>
        </w:rPr>
        <w:t xml:space="preserve">:  400 </w:t>
      </w:r>
      <w:proofErr w:type="spellStart"/>
      <w:r w:rsidRPr="00AE6570">
        <w:rPr>
          <w:rFonts w:ascii="Segoe UI" w:hAnsi="Segoe UI" w:cs="Segoe UI"/>
          <w:iCs/>
          <w:sz w:val="24"/>
          <w:szCs w:val="24"/>
        </w:rPr>
        <w:t>psig</w:t>
      </w:r>
      <w:proofErr w:type="spellEnd"/>
      <w:r w:rsidRPr="00AE6570">
        <w:rPr>
          <w:rFonts w:ascii="Segoe UI" w:hAnsi="Segoe UI" w:cs="Segoe UI"/>
          <w:iCs/>
          <w:sz w:val="24"/>
          <w:szCs w:val="24"/>
        </w:rPr>
        <w:t>.</w:t>
      </w:r>
    </w:p>
    <w:p w14:paraId="492AA649"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Maximum Temperature Rating</w:t>
      </w:r>
      <w:r w:rsidRPr="00AE6570">
        <w:rPr>
          <w:rFonts w:ascii="Segoe UI" w:hAnsi="Segoe UI" w:cs="Segoe UI"/>
          <w:iCs/>
          <w:sz w:val="24"/>
          <w:szCs w:val="24"/>
        </w:rPr>
        <w:t>:  200 deg F.</w:t>
      </w:r>
    </w:p>
    <w:p w14:paraId="043A130B"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End Connections for NPS 1.25” and Larger:</w:t>
      </w:r>
      <w:r w:rsidRPr="00AE6570">
        <w:rPr>
          <w:rFonts w:ascii="Segoe UI" w:hAnsi="Segoe UI" w:cs="Segoe UI"/>
          <w:iCs/>
          <w:sz w:val="24"/>
          <w:szCs w:val="24"/>
        </w:rPr>
        <w:t xml:space="preserve">  1” Male NPT Hot Tap Adapter fitting. Installation through 1” full port isolation valve, minimum.</w:t>
      </w:r>
    </w:p>
    <w:p w14:paraId="42F93C47"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Flow Range:</w:t>
      </w:r>
      <w:r w:rsidRPr="00AE6570">
        <w:rPr>
          <w:rFonts w:ascii="Segoe UI" w:hAnsi="Segoe UI" w:cs="Segoe UI"/>
          <w:iCs/>
          <w:sz w:val="24"/>
          <w:szCs w:val="24"/>
        </w:rPr>
        <w:t xml:space="preserve">  Flow-measuring element and transmitter shall cover operating range of equipment or system served.</w:t>
      </w:r>
    </w:p>
    <w:p w14:paraId="6E8A3ADE"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Accuracy:</w:t>
      </w:r>
      <w:r w:rsidRPr="00AE6570">
        <w:rPr>
          <w:rFonts w:ascii="Segoe UI" w:hAnsi="Segoe UI" w:cs="Segoe UI"/>
          <w:iCs/>
          <w:sz w:val="24"/>
          <w:szCs w:val="24"/>
        </w:rPr>
        <w:t xml:space="preserve">  Flowmeter shall provide calibrated outputs directly from the integral transmitter, throughout the operating range with the accuracy stated as follows: </w:t>
      </w:r>
    </w:p>
    <w:p w14:paraId="48015700" w14:textId="77777777" w:rsidR="00AE6570" w:rsidRPr="00AE6570" w:rsidRDefault="00AE6570" w:rsidP="00AE6570">
      <w:pPr>
        <w:rPr>
          <w:rFonts w:ascii="Segoe UI" w:hAnsi="Segoe UI" w:cs="Segoe UI"/>
          <w:bCs/>
          <w:sz w:val="24"/>
          <w:szCs w:val="24"/>
        </w:rPr>
      </w:pPr>
      <w:proofErr w:type="gramStart"/>
      <w:r w:rsidRPr="00AE6570">
        <w:rPr>
          <w:rFonts w:ascii="Segoe UI" w:hAnsi="Segoe UI" w:cs="Segoe UI"/>
          <w:bCs/>
          <w:sz w:val="24"/>
          <w:szCs w:val="24"/>
        </w:rPr>
        <w:t>Plus</w:t>
      </w:r>
      <w:proofErr w:type="gramEnd"/>
      <w:r w:rsidRPr="00AE6570">
        <w:rPr>
          <w:rFonts w:ascii="Segoe UI" w:hAnsi="Segoe UI" w:cs="Segoe UI"/>
          <w:bCs/>
          <w:sz w:val="24"/>
          <w:szCs w:val="24"/>
        </w:rPr>
        <w:t xml:space="preserve"> or minus 1.0% of rate from 2.0 to 20.0 ft/sec velocity (10:1 turndown). </w:t>
      </w:r>
    </w:p>
    <w:p w14:paraId="76737AAE" w14:textId="77777777" w:rsidR="00AE6570" w:rsidRPr="00AE6570" w:rsidRDefault="00AE6570" w:rsidP="00AE6570">
      <w:pPr>
        <w:rPr>
          <w:rFonts w:ascii="Segoe UI" w:hAnsi="Segoe UI" w:cs="Segoe UI"/>
          <w:bCs/>
          <w:sz w:val="24"/>
          <w:szCs w:val="24"/>
        </w:rPr>
      </w:pPr>
      <w:proofErr w:type="gramStart"/>
      <w:r w:rsidRPr="00AE6570">
        <w:rPr>
          <w:rFonts w:ascii="Segoe UI" w:hAnsi="Segoe UI" w:cs="Segoe UI"/>
          <w:bCs/>
          <w:sz w:val="24"/>
          <w:szCs w:val="24"/>
        </w:rPr>
        <w:t>Plus</w:t>
      </w:r>
      <w:proofErr w:type="gramEnd"/>
      <w:r w:rsidRPr="00AE6570">
        <w:rPr>
          <w:rFonts w:ascii="Segoe UI" w:hAnsi="Segoe UI" w:cs="Segoe UI"/>
          <w:bCs/>
          <w:sz w:val="24"/>
          <w:szCs w:val="24"/>
        </w:rPr>
        <w:t xml:space="preserve"> or minus 0.02 ft/sec below 2 ft / sec </w:t>
      </w:r>
    </w:p>
    <w:p w14:paraId="473663B1"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Calibration:</w:t>
      </w:r>
      <w:r w:rsidRPr="00AE6570">
        <w:rPr>
          <w:rFonts w:ascii="Segoe UI" w:hAnsi="Segoe UI" w:cs="Segoe UI"/>
          <w:iCs/>
          <w:sz w:val="24"/>
          <w:szCs w:val="24"/>
        </w:rPr>
        <w:t xml:space="preserve">  Each flowmeter shall receive a wet calibration, within the expected operating range, against a primary volumetric standard that is traceable to NIST. </w:t>
      </w:r>
    </w:p>
    <w:p w14:paraId="0C9B4828"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Optional Local Display:</w:t>
      </w:r>
      <w:r w:rsidRPr="00AE6570">
        <w:rPr>
          <w:rFonts w:ascii="Segoe UI" w:hAnsi="Segoe UI" w:cs="Segoe UI"/>
          <w:iCs/>
          <w:sz w:val="24"/>
          <w:szCs w:val="24"/>
        </w:rPr>
        <w:t xml:space="preserve">  Local display shall provide instantaneous flow rate information and totalized flow information and shall be factory configured for connection to a specific flowmeter. </w:t>
      </w:r>
    </w:p>
    <w:p w14:paraId="3C2BEB9E"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Operating and Installation Instructions:</w:t>
      </w:r>
      <w:r w:rsidRPr="00AE6570">
        <w:rPr>
          <w:rFonts w:ascii="Segoe UI" w:hAnsi="Segoe UI" w:cs="Segoe UI"/>
          <w:iCs/>
          <w:sz w:val="24"/>
          <w:szCs w:val="24"/>
        </w:rPr>
        <w:t xml:space="preserve">  Installation and operating instructions shall be provided for each flowmeter. Refer to section 230519.3.4 “Flowmeter Schedule by Application” for additional installation requirements.  </w:t>
      </w:r>
    </w:p>
    <w:p w14:paraId="7BFAD201" w14:textId="77777777" w:rsidR="00AE6570" w:rsidRPr="00AE6570" w:rsidRDefault="00AE6570" w:rsidP="00AE6570">
      <w:pPr>
        <w:rPr>
          <w:rFonts w:ascii="Segoe UI" w:hAnsi="Segoe UI" w:cs="Segoe UI"/>
          <w:iCs/>
          <w:sz w:val="24"/>
          <w:szCs w:val="24"/>
        </w:rPr>
      </w:pPr>
      <w:r w:rsidRPr="00AE6570">
        <w:rPr>
          <w:rFonts w:ascii="Segoe UI" w:hAnsi="Segoe UI" w:cs="Segoe UI"/>
          <w:iCs/>
          <w:sz w:val="24"/>
          <w:szCs w:val="24"/>
          <w:u w:val="single"/>
        </w:rPr>
        <w:t>Warranty</w:t>
      </w:r>
      <w:r w:rsidRPr="00AE6570">
        <w:rPr>
          <w:rFonts w:ascii="Segoe UI" w:hAnsi="Segoe UI" w:cs="Segoe UI"/>
          <w:iCs/>
          <w:sz w:val="24"/>
          <w:szCs w:val="24"/>
        </w:rPr>
        <w:t xml:space="preserve">: Each flowmeter shall be covered by the manufacturer’s three-year warranty. </w:t>
      </w:r>
    </w:p>
    <w:p w14:paraId="605766C0" w14:textId="77777777" w:rsidR="00AE6570" w:rsidRPr="00AE6570" w:rsidRDefault="00AE6570" w:rsidP="00AE6570">
      <w:pPr>
        <w:rPr>
          <w:rFonts w:ascii="Segoe UI" w:hAnsi="Segoe UI" w:cs="Segoe UI"/>
          <w:sz w:val="24"/>
          <w:szCs w:val="24"/>
        </w:rPr>
      </w:pPr>
    </w:p>
    <w:p w14:paraId="7BA6B9F2" w14:textId="77777777" w:rsidR="004C6DFD" w:rsidRPr="00AE6570" w:rsidRDefault="004C6DFD" w:rsidP="00AE6570">
      <w:pPr>
        <w:rPr>
          <w:sz w:val="24"/>
          <w:szCs w:val="24"/>
        </w:rPr>
      </w:pPr>
    </w:p>
    <w:sectPr w:rsidR="004C6DFD" w:rsidRPr="00AE6570" w:rsidSect="00EB0830">
      <w:headerReference w:type="even" r:id="rId8"/>
      <w:headerReference w:type="default" r:id="rId9"/>
      <w:footerReference w:type="even" r:id="rId10"/>
      <w:footerReference w:type="default" r:id="rId11"/>
      <w:headerReference w:type="first" r:id="rId12"/>
      <w:footerReference w:type="first" r:id="rId13"/>
      <w:pgSz w:w="12240" w:h="15840"/>
      <w:pgMar w:top="2520" w:right="1440" w:bottom="720"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680FC" w14:textId="77777777" w:rsidR="001B3848" w:rsidRDefault="001B3848" w:rsidP="00FC2FE3">
      <w:pPr>
        <w:spacing w:before="0" w:after="0" w:line="240" w:lineRule="auto"/>
      </w:pPr>
      <w:r>
        <w:separator/>
      </w:r>
    </w:p>
  </w:endnote>
  <w:endnote w:type="continuationSeparator" w:id="0">
    <w:p w14:paraId="6BB7F37B" w14:textId="77777777" w:rsidR="001B3848" w:rsidRDefault="001B3848" w:rsidP="00FC2F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pot New Condensed Rg">
    <w:altName w:val="Calibri"/>
    <w:panose1 w:val="00000000000000000000"/>
    <w:charset w:val="00"/>
    <w:family w:val="modern"/>
    <w:notTrueType/>
    <w:pitch w:val="variable"/>
    <w:sig w:usb0="A00000AF" w:usb1="4000206B" w:usb2="00000000" w:usb3="00000000" w:csb0="0000009B" w:csb1="00000000"/>
  </w:font>
  <w:font w:name="Segoe UI">
    <w:panose1 w:val="020B0502040204020203"/>
    <w:charset w:val="00"/>
    <w:family w:val="swiss"/>
    <w:pitch w:val="variable"/>
    <w:sig w:usb0="E4002EFF" w:usb1="C000E47F" w:usb2="00000009" w:usb3="00000000" w:csb0="000001FF" w:csb1="00000000"/>
  </w:font>
  <w:font w:name="Melior LT St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52D3C" w14:textId="77777777" w:rsidR="00FC2FE3" w:rsidRPr="00F85B3E" w:rsidRDefault="00FC2FE3" w:rsidP="00F85B3E">
    <w:pPr>
      <w:pStyle w:val="Footer"/>
      <w:jc w:val="center"/>
      <w:rPr>
        <w:color w:val="0067B4"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BC7E8" w14:textId="77777777" w:rsidR="00430908" w:rsidRDefault="00BB280D" w:rsidP="00E11099">
    <w:pPr>
      <w:pStyle w:val="Footer"/>
      <w:ind w:left="3600"/>
      <w:rPr>
        <w:rFonts w:ascii="Segoe UI" w:hAnsi="Segoe UI" w:cs="Segoe UI"/>
        <w:noProof/>
        <w:color w:val="000000" w:themeColor="text1"/>
        <w:sz w:val="6"/>
      </w:rPr>
    </w:pPr>
    <w:r w:rsidRPr="003C1A89">
      <w:rPr>
        <w:rFonts w:ascii="Segoe UI" w:hAnsi="Segoe UI" w:cs="Segoe UI"/>
        <w:noProof/>
        <w:color w:val="000000" w:themeColor="text1"/>
        <w:sz w:val="6"/>
      </w:rPr>
      <mc:AlternateContent>
        <mc:Choice Requires="wps">
          <w:drawing>
            <wp:anchor distT="0" distB="0" distL="114300" distR="114300" simplePos="0" relativeHeight="251662336" behindDoc="1" locked="0" layoutInCell="1" allowOverlap="1" wp14:anchorId="46D528BA" wp14:editId="7A8838A4">
              <wp:simplePos x="0" y="0"/>
              <wp:positionH relativeFrom="page">
                <wp:posOffset>3371850</wp:posOffset>
              </wp:positionH>
              <wp:positionV relativeFrom="paragraph">
                <wp:posOffset>45085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accent4">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5041A" id="Rectangle 8" o:spid="_x0000_s1026" style="position:absolute;margin-left:265.5pt;margin-top:3.55pt;width:364.5pt;height:4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" path="m409575,l4629150,9525r,542925l,523875,409575,xe" fillcolor="#414141 [2407]" stroked="f" strokeweight="2pt">
              <v:path arrowok="t" o:connecttype="custom" o:connectlocs="409575,0;4629150,9525;4629150,552450;0,523875;409575,0" o:connectangles="0,0,0,0,0"/>
              <w10:wrap anchorx="page"/>
            </v:shape>
          </w:pict>
        </mc:Fallback>
      </mc:AlternateContent>
    </w:r>
    <w:r w:rsidR="00430908" w:rsidRPr="003C1A89">
      <w:rPr>
        <w:rFonts w:ascii="Segoe UI" w:hAnsi="Segoe UI" w:cs="Segoe UI"/>
        <w:noProof/>
        <w:color w:val="000000" w:themeColor="text1"/>
        <w:sz w:val="6"/>
      </w:rPr>
      <mc:AlternateContent>
        <mc:Choice Requires="wps">
          <w:drawing>
            <wp:anchor distT="0" distB="0" distL="114300" distR="114300" simplePos="0" relativeHeight="251660288" behindDoc="1" locked="0" layoutInCell="1" allowOverlap="1" wp14:anchorId="56F1D9F2" wp14:editId="1743082F">
              <wp:simplePos x="0" y="0"/>
              <wp:positionH relativeFrom="page">
                <wp:posOffset>-1133474</wp:posOffset>
              </wp:positionH>
              <wp:positionV relativeFrom="paragraph">
                <wp:posOffset>45085</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31DC4" id="Rectangle 7" o:spid="_x0000_s1026" style="position:absolute;margin-left:-89.25pt;margin-top:3.55pt;width:375pt;height: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" path="m,l4762500,,4410075,457200,,457200,,xe" fillcolor="#007fc4" stroked="f" strokeweight="2pt">
              <v:path arrowok="t" o:connecttype="custom" o:connectlocs="0,0;4762500,0;4410075,457200;0,457200;0,0" o:connectangles="0,0,0,0,0"/>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254E5" w14:textId="77777777" w:rsidR="00166EF2" w:rsidRDefault="00166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4C8EC" w14:textId="77777777" w:rsidR="001B3848" w:rsidRDefault="001B3848" w:rsidP="00FC2FE3">
      <w:pPr>
        <w:spacing w:before="0" w:after="0" w:line="240" w:lineRule="auto"/>
      </w:pPr>
      <w:r>
        <w:separator/>
      </w:r>
    </w:p>
  </w:footnote>
  <w:footnote w:type="continuationSeparator" w:id="0">
    <w:p w14:paraId="5EC6AFA9" w14:textId="77777777" w:rsidR="001B3848" w:rsidRDefault="001B3848" w:rsidP="00FC2F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98F3" w14:textId="77777777" w:rsidR="00166EF2" w:rsidRDefault="00166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0238E" w14:textId="77777777" w:rsidR="00FC2FE3" w:rsidRPr="00F85B3E" w:rsidRDefault="00BB280D" w:rsidP="009D6471">
    <w:pPr>
      <w:pStyle w:val="Header"/>
      <w:ind w:left="-720"/>
      <w:rPr>
        <w:color w:val="0067B4" w:themeColor="text2"/>
      </w:rPr>
    </w:pPr>
    <w:r>
      <w:rPr>
        <w:noProof/>
        <w:color w:val="0067B4" w:themeColor="text2"/>
      </w:rPr>
      <mc:AlternateContent>
        <mc:Choice Requires="wps">
          <w:drawing>
            <wp:anchor distT="0" distB="0" distL="114300" distR="114300" simplePos="0" relativeHeight="251663360" behindDoc="0" locked="0" layoutInCell="1" allowOverlap="1" wp14:anchorId="75EA7E2B" wp14:editId="3FF73C9F">
              <wp:simplePos x="0" y="0"/>
              <wp:positionH relativeFrom="column">
                <wp:posOffset>4848225</wp:posOffset>
              </wp:positionH>
              <wp:positionV relativeFrom="paragraph">
                <wp:posOffset>22860</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019DC2CD"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1C46F024"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68775B5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45F8CC4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Fax +1 (727) 442-5699</w:t>
                          </w:r>
                        </w:p>
                        <w:p w14:paraId="74C2691B"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www.onicon.com</w:t>
                          </w:r>
                        </w:p>
                        <w:p w14:paraId="6147276B" w14:textId="77777777" w:rsidR="00CE2774"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sales@onicon.com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A7E2B" id="_x0000_t202" coordsize="21600,21600" o:spt="202" path="m,l,21600r21600,l21600,xe">
              <v:stroke joinstyle="miter"/>
              <v:path gradientshapeok="t" o:connecttype="rect"/>
            </v:shapetype>
            <v:shape id="Text Box 1" o:spid="_x0000_s1026" type="#_x0000_t202" style="position:absolute;left:0;text-align:left;margin-left:381.75pt;margin-top:1.8pt;width:144.7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" fillcolor="white [3201]" stroked="f" strokeweight=".5pt">
              <v:textbox>
                <w:txbxContent>
                  <w:p w14:paraId="019DC2CD"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1C46F024"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68775B5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45F8CC4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Fax +1 (727) 442-5699</w:t>
                    </w:r>
                  </w:p>
                  <w:p w14:paraId="74C2691B"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www.onicon.com</w:t>
                    </w:r>
                  </w:p>
                  <w:p w14:paraId="6147276B" w14:textId="77777777" w:rsidR="00CE2774"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sales@onicon.com</w:t>
                    </w:r>
                  </w:p>
                </w:txbxContent>
              </v:textbox>
            </v:shape>
          </w:pict>
        </mc:Fallback>
      </mc:AlternateContent>
    </w:r>
    <w:r>
      <w:rPr>
        <w:noProof/>
        <w:color w:val="0067B4" w:themeColor="text2"/>
      </w:rPr>
      <mc:AlternateContent>
        <mc:Choice Requires="wps">
          <w:drawing>
            <wp:anchor distT="0" distB="0" distL="114300" distR="114300" simplePos="0" relativeHeight="251664384" behindDoc="0" locked="0" layoutInCell="1" allowOverlap="1" wp14:anchorId="0ADD6320" wp14:editId="6A30816A">
              <wp:simplePos x="0" y="0"/>
              <wp:positionH relativeFrom="column">
                <wp:posOffset>4695825</wp:posOffset>
              </wp:positionH>
              <wp:positionV relativeFrom="paragraph">
                <wp:posOffset>79375</wp:posOffset>
              </wp:positionV>
              <wp:extent cx="0" cy="94297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94297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1F7A67"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69.75pt,6.25pt" to="369.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" strokecolor="#007fc4"/>
          </w:pict>
        </mc:Fallback>
      </mc:AlternateContent>
    </w:r>
    <w:r w:rsidR="008B3CDD">
      <w:rPr>
        <w:noProof/>
        <w:color w:val="0067B4" w:themeColor="text2"/>
      </w:rPr>
      <w:drawing>
        <wp:inline distT="0" distB="0" distL="0" distR="0" wp14:anchorId="61E1A196" wp14:editId="2800EEC8">
          <wp:extent cx="213550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2249198" cy="82263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C8DE8" w14:textId="77777777" w:rsidR="00166EF2" w:rsidRDefault="00166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F3ACC"/>
    <w:multiLevelType w:val="hybridMultilevel"/>
    <w:tmpl w:val="A7447F8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130A7"/>
    <w:multiLevelType w:val="hybridMultilevel"/>
    <w:tmpl w:val="436A9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C2BB7"/>
    <w:multiLevelType w:val="hybridMultilevel"/>
    <w:tmpl w:val="A4B40F30"/>
    <w:lvl w:ilvl="0" w:tplc="5202A648">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11BA42C9"/>
    <w:multiLevelType w:val="hybridMultilevel"/>
    <w:tmpl w:val="516AE7F6"/>
    <w:lvl w:ilvl="0" w:tplc="5202A6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50A8C"/>
    <w:multiLevelType w:val="hybridMultilevel"/>
    <w:tmpl w:val="571A1AF2"/>
    <w:lvl w:ilvl="0" w:tplc="815063C0">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1B55693"/>
    <w:multiLevelType w:val="hybridMultilevel"/>
    <w:tmpl w:val="30B60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3189A"/>
    <w:multiLevelType w:val="hybridMultilevel"/>
    <w:tmpl w:val="15D2717A"/>
    <w:lvl w:ilvl="0" w:tplc="04090015">
      <w:start w:val="1"/>
      <w:numFmt w:val="upperLetter"/>
      <w:lvlText w:val="%1."/>
      <w:lvlJc w:val="left"/>
      <w:pPr>
        <w:ind w:left="-504" w:hanging="360"/>
      </w:pPr>
    </w:lvl>
    <w:lvl w:ilvl="1" w:tplc="04090019" w:tentative="1">
      <w:start w:val="1"/>
      <w:numFmt w:val="lowerLetter"/>
      <w:lvlText w:val="%2."/>
      <w:lvlJc w:val="left"/>
      <w:pPr>
        <w:ind w:left="216" w:hanging="360"/>
      </w:pPr>
    </w:lvl>
    <w:lvl w:ilvl="2" w:tplc="0409001B" w:tentative="1">
      <w:start w:val="1"/>
      <w:numFmt w:val="lowerRoman"/>
      <w:lvlText w:val="%3."/>
      <w:lvlJc w:val="right"/>
      <w:pPr>
        <w:ind w:left="936" w:hanging="180"/>
      </w:pPr>
    </w:lvl>
    <w:lvl w:ilvl="3" w:tplc="0409000F" w:tentative="1">
      <w:start w:val="1"/>
      <w:numFmt w:val="decimal"/>
      <w:lvlText w:val="%4."/>
      <w:lvlJc w:val="left"/>
      <w:pPr>
        <w:ind w:left="1656" w:hanging="360"/>
      </w:pPr>
    </w:lvl>
    <w:lvl w:ilvl="4" w:tplc="04090019" w:tentative="1">
      <w:start w:val="1"/>
      <w:numFmt w:val="lowerLetter"/>
      <w:lvlText w:val="%5."/>
      <w:lvlJc w:val="left"/>
      <w:pPr>
        <w:ind w:left="2376" w:hanging="360"/>
      </w:pPr>
    </w:lvl>
    <w:lvl w:ilvl="5" w:tplc="0409001B" w:tentative="1">
      <w:start w:val="1"/>
      <w:numFmt w:val="lowerRoman"/>
      <w:lvlText w:val="%6."/>
      <w:lvlJc w:val="right"/>
      <w:pPr>
        <w:ind w:left="3096" w:hanging="180"/>
      </w:pPr>
    </w:lvl>
    <w:lvl w:ilvl="6" w:tplc="0409000F" w:tentative="1">
      <w:start w:val="1"/>
      <w:numFmt w:val="decimal"/>
      <w:lvlText w:val="%7."/>
      <w:lvlJc w:val="left"/>
      <w:pPr>
        <w:ind w:left="3816" w:hanging="360"/>
      </w:pPr>
    </w:lvl>
    <w:lvl w:ilvl="7" w:tplc="04090019" w:tentative="1">
      <w:start w:val="1"/>
      <w:numFmt w:val="lowerLetter"/>
      <w:lvlText w:val="%8."/>
      <w:lvlJc w:val="left"/>
      <w:pPr>
        <w:ind w:left="4536" w:hanging="360"/>
      </w:pPr>
    </w:lvl>
    <w:lvl w:ilvl="8" w:tplc="0409001B" w:tentative="1">
      <w:start w:val="1"/>
      <w:numFmt w:val="lowerRoman"/>
      <w:lvlText w:val="%9."/>
      <w:lvlJc w:val="right"/>
      <w:pPr>
        <w:ind w:left="5256" w:hanging="180"/>
      </w:pPr>
    </w:lvl>
  </w:abstractNum>
  <w:abstractNum w:abstractNumId="7" w15:restartNumberingAfterBreak="0">
    <w:nsid w:val="27B91C4F"/>
    <w:multiLevelType w:val="hybridMultilevel"/>
    <w:tmpl w:val="93BE8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52944"/>
    <w:multiLevelType w:val="hybridMultilevel"/>
    <w:tmpl w:val="890294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37420"/>
    <w:multiLevelType w:val="hybridMultilevel"/>
    <w:tmpl w:val="75BC4E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C5D21"/>
    <w:multiLevelType w:val="hybridMultilevel"/>
    <w:tmpl w:val="F6E073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A71BCE"/>
    <w:multiLevelType w:val="hybridMultilevel"/>
    <w:tmpl w:val="E2F6A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107BDE"/>
    <w:multiLevelType w:val="hybridMultilevel"/>
    <w:tmpl w:val="9E4E99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99137F"/>
    <w:multiLevelType w:val="hybridMultilevel"/>
    <w:tmpl w:val="3B00D3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9D0703"/>
    <w:multiLevelType w:val="hybridMultilevel"/>
    <w:tmpl w:val="5E92656A"/>
    <w:lvl w:ilvl="0" w:tplc="4B2A0E5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FD56C4"/>
    <w:multiLevelType w:val="hybridMultilevel"/>
    <w:tmpl w:val="3552F00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416EC3"/>
    <w:multiLevelType w:val="hybridMultilevel"/>
    <w:tmpl w:val="F6E073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4"/>
  </w:num>
  <w:num w:numId="5">
    <w:abstractNumId w:val="11"/>
  </w:num>
  <w:num w:numId="6">
    <w:abstractNumId w:val="15"/>
  </w:num>
  <w:num w:numId="7">
    <w:abstractNumId w:val="12"/>
  </w:num>
  <w:num w:numId="8">
    <w:abstractNumId w:val="0"/>
  </w:num>
  <w:num w:numId="9">
    <w:abstractNumId w:val="5"/>
  </w:num>
  <w:num w:numId="10">
    <w:abstractNumId w:val="14"/>
  </w:num>
  <w:num w:numId="11">
    <w:abstractNumId w:val="6"/>
  </w:num>
  <w:num w:numId="12">
    <w:abstractNumId w:val="1"/>
  </w:num>
  <w:num w:numId="13">
    <w:abstractNumId w:val="13"/>
  </w:num>
  <w:num w:numId="14">
    <w:abstractNumId w:val="9"/>
  </w:num>
  <w:num w:numId="15">
    <w:abstractNumId w:val="10"/>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E1B"/>
    <w:rsid w:val="0001264D"/>
    <w:rsid w:val="0003302D"/>
    <w:rsid w:val="00162FCE"/>
    <w:rsid w:val="00166EF2"/>
    <w:rsid w:val="001B3848"/>
    <w:rsid w:val="00202F02"/>
    <w:rsid w:val="00285CD8"/>
    <w:rsid w:val="002963DC"/>
    <w:rsid w:val="003C1A89"/>
    <w:rsid w:val="00430908"/>
    <w:rsid w:val="004C6DFD"/>
    <w:rsid w:val="0051235D"/>
    <w:rsid w:val="00662B45"/>
    <w:rsid w:val="006717F5"/>
    <w:rsid w:val="006A0A40"/>
    <w:rsid w:val="006C54C5"/>
    <w:rsid w:val="007B5E1B"/>
    <w:rsid w:val="00832560"/>
    <w:rsid w:val="008B3CDD"/>
    <w:rsid w:val="008E3EB3"/>
    <w:rsid w:val="00900230"/>
    <w:rsid w:val="00941DFC"/>
    <w:rsid w:val="0099326B"/>
    <w:rsid w:val="009A77DE"/>
    <w:rsid w:val="009B36E0"/>
    <w:rsid w:val="009D6471"/>
    <w:rsid w:val="009F2254"/>
    <w:rsid w:val="00A05209"/>
    <w:rsid w:val="00A824A2"/>
    <w:rsid w:val="00AE6570"/>
    <w:rsid w:val="00BB280D"/>
    <w:rsid w:val="00CB549E"/>
    <w:rsid w:val="00CE2774"/>
    <w:rsid w:val="00D214E6"/>
    <w:rsid w:val="00E0108D"/>
    <w:rsid w:val="00E11099"/>
    <w:rsid w:val="00EB0830"/>
    <w:rsid w:val="00F85B3E"/>
    <w:rsid w:val="00FC2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EC3F1F"/>
  <w15:chartTrackingRefBased/>
  <w15:docId w15:val="{6F30E738-3C8F-405E-B521-2B1F0FA9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B3E"/>
  </w:style>
  <w:style w:type="paragraph" w:styleId="Heading1">
    <w:name w:val="heading 1"/>
    <w:basedOn w:val="Normal"/>
    <w:next w:val="Normal"/>
    <w:link w:val="Heading1Char"/>
    <w:uiPriority w:val="9"/>
    <w:qFormat/>
    <w:rsid w:val="007B5E1B"/>
    <w:pPr>
      <w:pBdr>
        <w:top w:val="single" w:sz="24" w:space="0" w:color="0067B4" w:themeColor="accent1"/>
        <w:left w:val="single" w:sz="24" w:space="0" w:color="0067B4" w:themeColor="accent1"/>
        <w:bottom w:val="single" w:sz="24" w:space="0" w:color="0067B4" w:themeColor="accent1"/>
        <w:right w:val="single" w:sz="24" w:space="0" w:color="0067B4" w:themeColor="accent1"/>
      </w:pBdr>
      <w:shd w:val="clear" w:color="auto" w:fill="0067B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B5E1B"/>
    <w:pPr>
      <w:pBdr>
        <w:top w:val="single" w:sz="24" w:space="0" w:color="BDE2FF" w:themeColor="accent1" w:themeTint="33"/>
        <w:left w:val="single" w:sz="24" w:space="0" w:color="BDE2FF" w:themeColor="accent1" w:themeTint="33"/>
        <w:bottom w:val="single" w:sz="24" w:space="0" w:color="BDE2FF" w:themeColor="accent1" w:themeTint="33"/>
        <w:right w:val="single" w:sz="24" w:space="0" w:color="BDE2FF" w:themeColor="accent1" w:themeTint="33"/>
      </w:pBdr>
      <w:shd w:val="clear" w:color="auto" w:fill="BDE2FF"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B5E1B"/>
    <w:pPr>
      <w:pBdr>
        <w:top w:val="single" w:sz="6" w:space="2" w:color="0067B4" w:themeColor="accent1"/>
      </w:pBdr>
      <w:spacing w:before="300" w:after="0"/>
      <w:outlineLvl w:val="2"/>
    </w:pPr>
    <w:rPr>
      <w:caps/>
      <w:color w:val="003259" w:themeColor="accent1" w:themeShade="7F"/>
      <w:spacing w:val="15"/>
    </w:rPr>
  </w:style>
  <w:style w:type="paragraph" w:styleId="Heading4">
    <w:name w:val="heading 4"/>
    <w:basedOn w:val="Normal"/>
    <w:next w:val="Normal"/>
    <w:link w:val="Heading4Char"/>
    <w:uiPriority w:val="9"/>
    <w:semiHidden/>
    <w:unhideWhenUsed/>
    <w:qFormat/>
    <w:rsid w:val="007B5E1B"/>
    <w:pPr>
      <w:pBdr>
        <w:top w:val="dotted" w:sz="6" w:space="2" w:color="0067B4" w:themeColor="accent1"/>
      </w:pBdr>
      <w:spacing w:before="200" w:after="0"/>
      <w:outlineLvl w:val="3"/>
    </w:pPr>
    <w:rPr>
      <w:caps/>
      <w:color w:val="004C86" w:themeColor="accent1" w:themeShade="BF"/>
      <w:spacing w:val="10"/>
    </w:rPr>
  </w:style>
  <w:style w:type="paragraph" w:styleId="Heading5">
    <w:name w:val="heading 5"/>
    <w:basedOn w:val="Normal"/>
    <w:next w:val="Normal"/>
    <w:link w:val="Heading5Char"/>
    <w:uiPriority w:val="9"/>
    <w:semiHidden/>
    <w:unhideWhenUsed/>
    <w:qFormat/>
    <w:rsid w:val="007B5E1B"/>
    <w:pPr>
      <w:pBdr>
        <w:bottom w:val="single" w:sz="6" w:space="1" w:color="0067B4" w:themeColor="accent1"/>
      </w:pBdr>
      <w:spacing w:before="200" w:after="0"/>
      <w:outlineLvl w:val="4"/>
    </w:pPr>
    <w:rPr>
      <w:caps/>
      <w:color w:val="004C86" w:themeColor="accent1" w:themeShade="BF"/>
      <w:spacing w:val="10"/>
    </w:rPr>
  </w:style>
  <w:style w:type="paragraph" w:styleId="Heading6">
    <w:name w:val="heading 6"/>
    <w:basedOn w:val="Normal"/>
    <w:next w:val="Normal"/>
    <w:link w:val="Heading6Char"/>
    <w:uiPriority w:val="9"/>
    <w:semiHidden/>
    <w:unhideWhenUsed/>
    <w:qFormat/>
    <w:rsid w:val="007B5E1B"/>
    <w:pPr>
      <w:pBdr>
        <w:bottom w:val="dotted" w:sz="6" w:space="1" w:color="0067B4" w:themeColor="accent1"/>
      </w:pBdr>
      <w:spacing w:before="200" w:after="0"/>
      <w:outlineLvl w:val="5"/>
    </w:pPr>
    <w:rPr>
      <w:caps/>
      <w:color w:val="004C86" w:themeColor="accent1" w:themeShade="BF"/>
      <w:spacing w:val="10"/>
    </w:rPr>
  </w:style>
  <w:style w:type="paragraph" w:styleId="Heading7">
    <w:name w:val="heading 7"/>
    <w:basedOn w:val="Normal"/>
    <w:next w:val="Normal"/>
    <w:link w:val="Heading7Char"/>
    <w:uiPriority w:val="9"/>
    <w:semiHidden/>
    <w:unhideWhenUsed/>
    <w:qFormat/>
    <w:rsid w:val="007B5E1B"/>
    <w:pPr>
      <w:spacing w:before="200" w:after="0"/>
      <w:outlineLvl w:val="6"/>
    </w:pPr>
    <w:rPr>
      <w:caps/>
      <w:color w:val="004C86" w:themeColor="accent1" w:themeShade="BF"/>
      <w:spacing w:val="10"/>
    </w:rPr>
  </w:style>
  <w:style w:type="paragraph" w:styleId="Heading8">
    <w:name w:val="heading 8"/>
    <w:basedOn w:val="Normal"/>
    <w:next w:val="Normal"/>
    <w:link w:val="Heading8Char"/>
    <w:uiPriority w:val="9"/>
    <w:semiHidden/>
    <w:unhideWhenUsed/>
    <w:qFormat/>
    <w:rsid w:val="007B5E1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B5E1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E1B"/>
    <w:rPr>
      <w:caps/>
      <w:color w:val="FFFFFF" w:themeColor="background1"/>
      <w:spacing w:val="15"/>
      <w:sz w:val="22"/>
      <w:szCs w:val="22"/>
      <w:shd w:val="clear" w:color="auto" w:fill="0067B4" w:themeFill="accent1"/>
    </w:rPr>
  </w:style>
  <w:style w:type="character" w:customStyle="1" w:styleId="Heading2Char">
    <w:name w:val="Heading 2 Char"/>
    <w:basedOn w:val="DefaultParagraphFont"/>
    <w:link w:val="Heading2"/>
    <w:uiPriority w:val="9"/>
    <w:semiHidden/>
    <w:rsid w:val="007B5E1B"/>
    <w:rPr>
      <w:caps/>
      <w:spacing w:val="15"/>
      <w:shd w:val="clear" w:color="auto" w:fill="BDE2FF" w:themeFill="accent1" w:themeFillTint="33"/>
    </w:rPr>
  </w:style>
  <w:style w:type="character" w:customStyle="1" w:styleId="Heading3Char">
    <w:name w:val="Heading 3 Char"/>
    <w:basedOn w:val="DefaultParagraphFont"/>
    <w:link w:val="Heading3"/>
    <w:uiPriority w:val="9"/>
    <w:semiHidden/>
    <w:rsid w:val="007B5E1B"/>
    <w:rPr>
      <w:caps/>
      <w:color w:val="003259" w:themeColor="accent1" w:themeShade="7F"/>
      <w:spacing w:val="15"/>
    </w:rPr>
  </w:style>
  <w:style w:type="character" w:customStyle="1" w:styleId="Heading4Char">
    <w:name w:val="Heading 4 Char"/>
    <w:basedOn w:val="DefaultParagraphFont"/>
    <w:link w:val="Heading4"/>
    <w:uiPriority w:val="9"/>
    <w:semiHidden/>
    <w:rsid w:val="007B5E1B"/>
    <w:rPr>
      <w:caps/>
      <w:color w:val="004C86" w:themeColor="accent1" w:themeShade="BF"/>
      <w:spacing w:val="10"/>
    </w:rPr>
  </w:style>
  <w:style w:type="character" w:customStyle="1" w:styleId="Heading5Char">
    <w:name w:val="Heading 5 Char"/>
    <w:basedOn w:val="DefaultParagraphFont"/>
    <w:link w:val="Heading5"/>
    <w:uiPriority w:val="9"/>
    <w:semiHidden/>
    <w:rsid w:val="007B5E1B"/>
    <w:rPr>
      <w:caps/>
      <w:color w:val="004C86" w:themeColor="accent1" w:themeShade="BF"/>
      <w:spacing w:val="10"/>
    </w:rPr>
  </w:style>
  <w:style w:type="character" w:customStyle="1" w:styleId="Heading6Char">
    <w:name w:val="Heading 6 Char"/>
    <w:basedOn w:val="DefaultParagraphFont"/>
    <w:link w:val="Heading6"/>
    <w:uiPriority w:val="9"/>
    <w:semiHidden/>
    <w:rsid w:val="007B5E1B"/>
    <w:rPr>
      <w:caps/>
      <w:color w:val="004C86" w:themeColor="accent1" w:themeShade="BF"/>
      <w:spacing w:val="10"/>
    </w:rPr>
  </w:style>
  <w:style w:type="character" w:customStyle="1" w:styleId="Heading7Char">
    <w:name w:val="Heading 7 Char"/>
    <w:basedOn w:val="DefaultParagraphFont"/>
    <w:link w:val="Heading7"/>
    <w:uiPriority w:val="9"/>
    <w:semiHidden/>
    <w:rsid w:val="007B5E1B"/>
    <w:rPr>
      <w:caps/>
      <w:color w:val="004C86" w:themeColor="accent1" w:themeShade="BF"/>
      <w:spacing w:val="10"/>
    </w:rPr>
  </w:style>
  <w:style w:type="character" w:customStyle="1" w:styleId="Heading8Char">
    <w:name w:val="Heading 8 Char"/>
    <w:basedOn w:val="DefaultParagraphFont"/>
    <w:link w:val="Heading8"/>
    <w:uiPriority w:val="9"/>
    <w:semiHidden/>
    <w:rsid w:val="007B5E1B"/>
    <w:rPr>
      <w:caps/>
      <w:spacing w:val="10"/>
      <w:sz w:val="18"/>
      <w:szCs w:val="18"/>
    </w:rPr>
  </w:style>
  <w:style w:type="character" w:customStyle="1" w:styleId="Heading9Char">
    <w:name w:val="Heading 9 Char"/>
    <w:basedOn w:val="DefaultParagraphFont"/>
    <w:link w:val="Heading9"/>
    <w:uiPriority w:val="9"/>
    <w:semiHidden/>
    <w:rsid w:val="007B5E1B"/>
    <w:rPr>
      <w:i/>
      <w:iCs/>
      <w:caps/>
      <w:spacing w:val="10"/>
      <w:sz w:val="18"/>
      <w:szCs w:val="18"/>
    </w:rPr>
  </w:style>
  <w:style w:type="paragraph" w:styleId="Caption">
    <w:name w:val="caption"/>
    <w:basedOn w:val="Normal"/>
    <w:next w:val="Normal"/>
    <w:uiPriority w:val="35"/>
    <w:semiHidden/>
    <w:unhideWhenUsed/>
    <w:qFormat/>
    <w:rsid w:val="007B5E1B"/>
    <w:rPr>
      <w:b/>
      <w:bCs/>
      <w:color w:val="004C86" w:themeColor="accent1" w:themeShade="BF"/>
      <w:sz w:val="16"/>
      <w:szCs w:val="16"/>
    </w:rPr>
  </w:style>
  <w:style w:type="paragraph" w:styleId="Title">
    <w:name w:val="Title"/>
    <w:basedOn w:val="Normal"/>
    <w:next w:val="Normal"/>
    <w:link w:val="TitleChar"/>
    <w:uiPriority w:val="10"/>
    <w:qFormat/>
    <w:rsid w:val="007B5E1B"/>
    <w:pPr>
      <w:spacing w:before="0" w:after="0"/>
    </w:pPr>
    <w:rPr>
      <w:rFonts w:asciiTheme="majorHAnsi" w:eastAsiaTheme="majorEastAsia" w:hAnsiTheme="majorHAnsi" w:cstheme="majorBidi"/>
      <w:caps/>
      <w:color w:val="0067B4" w:themeColor="accent1"/>
      <w:spacing w:val="10"/>
      <w:sz w:val="52"/>
      <w:szCs w:val="52"/>
    </w:rPr>
  </w:style>
  <w:style w:type="character" w:customStyle="1" w:styleId="TitleChar">
    <w:name w:val="Title Char"/>
    <w:basedOn w:val="DefaultParagraphFont"/>
    <w:link w:val="Title"/>
    <w:uiPriority w:val="10"/>
    <w:rsid w:val="007B5E1B"/>
    <w:rPr>
      <w:rFonts w:asciiTheme="majorHAnsi" w:eastAsiaTheme="majorEastAsia" w:hAnsiTheme="majorHAnsi" w:cstheme="majorBidi"/>
      <w:caps/>
      <w:color w:val="0067B4" w:themeColor="accent1"/>
      <w:spacing w:val="10"/>
      <w:sz w:val="52"/>
      <w:szCs w:val="52"/>
    </w:rPr>
  </w:style>
  <w:style w:type="paragraph" w:styleId="Subtitle">
    <w:name w:val="Subtitle"/>
    <w:basedOn w:val="Normal"/>
    <w:next w:val="Normal"/>
    <w:link w:val="SubtitleChar"/>
    <w:uiPriority w:val="11"/>
    <w:qFormat/>
    <w:rsid w:val="007B5E1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B5E1B"/>
    <w:rPr>
      <w:caps/>
      <w:color w:val="595959" w:themeColor="text1" w:themeTint="A6"/>
      <w:spacing w:val="10"/>
      <w:sz w:val="21"/>
      <w:szCs w:val="21"/>
    </w:rPr>
  </w:style>
  <w:style w:type="character" w:styleId="Strong">
    <w:name w:val="Strong"/>
    <w:uiPriority w:val="22"/>
    <w:qFormat/>
    <w:rsid w:val="007B5E1B"/>
    <w:rPr>
      <w:b/>
      <w:bCs/>
    </w:rPr>
  </w:style>
  <w:style w:type="character" w:styleId="Emphasis">
    <w:name w:val="Emphasis"/>
    <w:uiPriority w:val="20"/>
    <w:qFormat/>
    <w:rsid w:val="007B5E1B"/>
    <w:rPr>
      <w:caps/>
      <w:color w:val="003259" w:themeColor="accent1" w:themeShade="7F"/>
      <w:spacing w:val="5"/>
    </w:rPr>
  </w:style>
  <w:style w:type="paragraph" w:styleId="NoSpacing">
    <w:name w:val="No Spacing"/>
    <w:uiPriority w:val="1"/>
    <w:qFormat/>
    <w:rsid w:val="007B5E1B"/>
    <w:pPr>
      <w:spacing w:after="0" w:line="240" w:lineRule="auto"/>
    </w:pPr>
  </w:style>
  <w:style w:type="paragraph" w:styleId="Quote">
    <w:name w:val="Quote"/>
    <w:basedOn w:val="Normal"/>
    <w:next w:val="Normal"/>
    <w:link w:val="QuoteChar"/>
    <w:uiPriority w:val="29"/>
    <w:qFormat/>
    <w:rsid w:val="007B5E1B"/>
    <w:rPr>
      <w:i/>
      <w:iCs/>
      <w:sz w:val="24"/>
      <w:szCs w:val="24"/>
    </w:rPr>
  </w:style>
  <w:style w:type="character" w:customStyle="1" w:styleId="QuoteChar">
    <w:name w:val="Quote Char"/>
    <w:basedOn w:val="DefaultParagraphFont"/>
    <w:link w:val="Quote"/>
    <w:uiPriority w:val="29"/>
    <w:rsid w:val="007B5E1B"/>
    <w:rPr>
      <w:i/>
      <w:iCs/>
      <w:sz w:val="24"/>
      <w:szCs w:val="24"/>
    </w:rPr>
  </w:style>
  <w:style w:type="paragraph" w:styleId="IntenseQuote">
    <w:name w:val="Intense Quote"/>
    <w:basedOn w:val="Normal"/>
    <w:next w:val="Normal"/>
    <w:link w:val="IntenseQuoteChar"/>
    <w:uiPriority w:val="30"/>
    <w:qFormat/>
    <w:rsid w:val="007B5E1B"/>
    <w:pPr>
      <w:spacing w:before="240" w:after="240" w:line="240" w:lineRule="auto"/>
      <w:ind w:left="1080" w:right="1080"/>
      <w:jc w:val="center"/>
    </w:pPr>
    <w:rPr>
      <w:color w:val="0067B4" w:themeColor="accent1"/>
      <w:sz w:val="24"/>
      <w:szCs w:val="24"/>
    </w:rPr>
  </w:style>
  <w:style w:type="character" w:customStyle="1" w:styleId="IntenseQuoteChar">
    <w:name w:val="Intense Quote Char"/>
    <w:basedOn w:val="DefaultParagraphFont"/>
    <w:link w:val="IntenseQuote"/>
    <w:uiPriority w:val="30"/>
    <w:rsid w:val="007B5E1B"/>
    <w:rPr>
      <w:color w:val="0067B4" w:themeColor="accent1"/>
      <w:sz w:val="24"/>
      <w:szCs w:val="24"/>
    </w:rPr>
  </w:style>
  <w:style w:type="character" w:styleId="SubtleEmphasis">
    <w:name w:val="Subtle Emphasis"/>
    <w:uiPriority w:val="19"/>
    <w:qFormat/>
    <w:rsid w:val="007B5E1B"/>
    <w:rPr>
      <w:i/>
      <w:iCs/>
      <w:color w:val="003259" w:themeColor="accent1" w:themeShade="7F"/>
    </w:rPr>
  </w:style>
  <w:style w:type="character" w:styleId="IntenseEmphasis">
    <w:name w:val="Intense Emphasis"/>
    <w:uiPriority w:val="21"/>
    <w:qFormat/>
    <w:rsid w:val="007B5E1B"/>
    <w:rPr>
      <w:b/>
      <w:bCs/>
      <w:caps/>
      <w:color w:val="003259" w:themeColor="accent1" w:themeShade="7F"/>
      <w:spacing w:val="10"/>
    </w:rPr>
  </w:style>
  <w:style w:type="character" w:styleId="SubtleReference">
    <w:name w:val="Subtle Reference"/>
    <w:uiPriority w:val="31"/>
    <w:qFormat/>
    <w:rsid w:val="007B5E1B"/>
    <w:rPr>
      <w:b/>
      <w:bCs/>
      <w:color w:val="0067B4" w:themeColor="accent1"/>
    </w:rPr>
  </w:style>
  <w:style w:type="character" w:styleId="IntenseReference">
    <w:name w:val="Intense Reference"/>
    <w:uiPriority w:val="32"/>
    <w:qFormat/>
    <w:rsid w:val="007B5E1B"/>
    <w:rPr>
      <w:b/>
      <w:bCs/>
      <w:i/>
      <w:iCs/>
      <w:caps/>
      <w:color w:val="0067B4" w:themeColor="accent1"/>
    </w:rPr>
  </w:style>
  <w:style w:type="character" w:styleId="BookTitle">
    <w:name w:val="Book Title"/>
    <w:uiPriority w:val="33"/>
    <w:qFormat/>
    <w:rsid w:val="007B5E1B"/>
    <w:rPr>
      <w:b/>
      <w:bCs/>
      <w:i/>
      <w:iCs/>
      <w:spacing w:val="0"/>
    </w:rPr>
  </w:style>
  <w:style w:type="paragraph" w:styleId="TOCHeading">
    <w:name w:val="TOC Heading"/>
    <w:basedOn w:val="Heading1"/>
    <w:next w:val="Normal"/>
    <w:uiPriority w:val="39"/>
    <w:semiHidden/>
    <w:unhideWhenUsed/>
    <w:qFormat/>
    <w:rsid w:val="007B5E1B"/>
    <w:pPr>
      <w:outlineLvl w:val="9"/>
    </w:pPr>
  </w:style>
  <w:style w:type="paragraph" w:styleId="Header">
    <w:name w:val="header"/>
    <w:basedOn w:val="Normal"/>
    <w:link w:val="HeaderChar"/>
    <w:uiPriority w:val="99"/>
    <w:unhideWhenUsed/>
    <w:rsid w:val="00FC2F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C2FE3"/>
  </w:style>
  <w:style w:type="paragraph" w:styleId="Footer">
    <w:name w:val="footer"/>
    <w:basedOn w:val="Normal"/>
    <w:link w:val="FooterChar"/>
    <w:uiPriority w:val="99"/>
    <w:unhideWhenUsed/>
    <w:rsid w:val="00FC2FE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C2FE3"/>
  </w:style>
  <w:style w:type="paragraph" w:styleId="BalloonText">
    <w:name w:val="Balloon Text"/>
    <w:basedOn w:val="Normal"/>
    <w:link w:val="BalloonTextChar"/>
    <w:uiPriority w:val="99"/>
    <w:semiHidden/>
    <w:unhideWhenUsed/>
    <w:rsid w:val="00941DF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DFC"/>
    <w:rPr>
      <w:rFonts w:ascii="Segoe UI" w:hAnsi="Segoe UI" w:cs="Segoe UI"/>
      <w:sz w:val="18"/>
      <w:szCs w:val="18"/>
    </w:rPr>
  </w:style>
  <w:style w:type="character" w:styleId="Hyperlink">
    <w:name w:val="Hyperlink"/>
    <w:basedOn w:val="DefaultParagraphFont"/>
    <w:uiPriority w:val="99"/>
    <w:unhideWhenUsed/>
    <w:rsid w:val="00BB280D"/>
    <w:rPr>
      <w:color w:val="0000FF" w:themeColor="hyperlink"/>
      <w:u w:val="single"/>
    </w:rPr>
  </w:style>
  <w:style w:type="character" w:styleId="UnresolvedMention">
    <w:name w:val="Unresolved Mention"/>
    <w:basedOn w:val="DefaultParagraphFont"/>
    <w:uiPriority w:val="99"/>
    <w:semiHidden/>
    <w:unhideWhenUsed/>
    <w:rsid w:val="00BB280D"/>
    <w:rPr>
      <w:color w:val="808080"/>
      <w:shd w:val="clear" w:color="auto" w:fill="E6E6E6"/>
    </w:rPr>
  </w:style>
  <w:style w:type="paragraph" w:styleId="ListParagraph">
    <w:name w:val="List Paragraph"/>
    <w:basedOn w:val="Normal"/>
    <w:uiPriority w:val="34"/>
    <w:qFormat/>
    <w:rsid w:val="00EB0830"/>
    <w:pPr>
      <w:spacing w:before="0"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eametrics_2016_Template Draft 2">
  <a:themeElements>
    <a:clrScheme name="Seametrics">
      <a:dk1>
        <a:sysClr val="windowText" lastClr="000000"/>
      </a:dk1>
      <a:lt1>
        <a:sysClr val="window" lastClr="FFFFFF"/>
      </a:lt1>
      <a:dk2>
        <a:srgbClr val="0067B4"/>
      </a:dk2>
      <a:lt2>
        <a:srgbClr val="000000"/>
      </a:lt2>
      <a:accent1>
        <a:srgbClr val="0067B4"/>
      </a:accent1>
      <a:accent2>
        <a:srgbClr val="F37021"/>
      </a:accent2>
      <a:accent3>
        <a:srgbClr val="39A8DF"/>
      </a:accent3>
      <a:accent4>
        <a:srgbClr val="585858"/>
      </a:accent4>
      <a:accent5>
        <a:srgbClr val="949494"/>
      </a:accent5>
      <a:accent6>
        <a:srgbClr val="88AC2E"/>
      </a:accent6>
      <a:hlink>
        <a:srgbClr val="0000FF"/>
      </a:hlink>
      <a:folHlink>
        <a:srgbClr val="800080"/>
      </a:folHlink>
    </a:clrScheme>
    <a:fontScheme name="Seametrics Font">
      <a:majorFont>
        <a:latin typeface="Depot New Condensed Rg"/>
        <a:ea typeface=""/>
        <a:cs typeface=""/>
      </a:majorFont>
      <a:minorFont>
        <a:latin typeface="Depot New Condensed Rg"/>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ametrics_2016_Template Draft 2" id="{0F4A64C7-CA83-41BC-A92B-22927F008EBC}" vid="{FDBAD021-B0B7-4F72-8828-ACD78D80B8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B126B-A0AF-486E-9FD8-CA58B31D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abence</dc:creator>
  <cp:keywords/>
  <dc:description/>
  <cp:lastModifiedBy>Ashley Bence</cp:lastModifiedBy>
  <cp:revision>3</cp:revision>
  <cp:lastPrinted>2018-02-16T16:14:00Z</cp:lastPrinted>
  <dcterms:created xsi:type="dcterms:W3CDTF">2020-01-16T17:33:00Z</dcterms:created>
  <dcterms:modified xsi:type="dcterms:W3CDTF">2020-01-16T17:34:00Z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-508380207</vt:i4>
  </property>
  <property fmtid="{D5CDD505-2E9C-101B-9397-08002B2CF9AE}" pid="3" name="Date">
    <vt:filetime>2020-01-13T00:00:00Z</vt:filetime>
  </property>
  <property fmtid="{D5CDD505-2E9C-101B-9397-08002B2CF9AE}" pid="4" name="Project Name">
    <vt:lpwstr>F-3500 Series Insertion Electromagnetic Flow Meter</vt:lpwstr>
  </property>
  <property fmtid="{D5CDD505-2E9C-101B-9397-08002B2CF9AE}" pid="5" name="ProjectNumber">
    <vt:lpwstr>PROD-00110</vt:lpwstr>
  </property>
  <property fmtid="{D5CDD505-2E9C-101B-9397-08002B2CF9AE}" pid="6" name="NUMBER">
    <vt:lpwstr>DOC-0003072</vt:lpwstr>
  </property>
</Properties>
</file>